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8EE2" w14:textId="77777777" w:rsidR="00AF3F6E" w:rsidRDefault="00AF3F6E" w:rsidP="00AF3F6E">
      <w:pPr>
        <w:ind w:left="-426"/>
        <w:jc w:val="center"/>
        <w:rPr>
          <w:rFonts w:ascii="Century Gothic" w:hAnsi="Century Gothic"/>
          <w:b/>
          <w:bCs/>
          <w:color w:val="222A4F"/>
          <w:sz w:val="20"/>
          <w:szCs w:val="20"/>
          <w:u w:val="single"/>
        </w:rPr>
      </w:pPr>
    </w:p>
    <w:p w14:paraId="04939DDE" w14:textId="5D2D2A78" w:rsidR="00635ACD" w:rsidRPr="00635ACD" w:rsidRDefault="00635ACD" w:rsidP="00635ACD">
      <w:pPr>
        <w:ind w:left="-426"/>
        <w:jc w:val="center"/>
        <w:rPr>
          <w:rFonts w:ascii="Century Gothic" w:hAnsi="Century Gothic"/>
          <w:b/>
          <w:bCs/>
          <w:color w:val="222A4F"/>
          <w:sz w:val="20"/>
          <w:szCs w:val="20"/>
          <w:u w:val="single"/>
        </w:rPr>
      </w:pPr>
      <w:r w:rsidRPr="00635ACD">
        <w:rPr>
          <w:rFonts w:ascii="Century Gothic" w:hAnsi="Century Gothic"/>
          <w:b/>
          <w:bCs/>
          <w:color w:val="222A4F"/>
          <w:sz w:val="20"/>
          <w:szCs w:val="20"/>
          <w:u w:val="single"/>
        </w:rPr>
        <w:t>CONDITIONS GÉNÉRALES DE GARANTIE PRODUIT</w:t>
      </w:r>
    </w:p>
    <w:p w14:paraId="6A9A5C27" w14:textId="77777777" w:rsidR="00AF3F6E" w:rsidRPr="00E23A5A" w:rsidRDefault="00AF3F6E" w:rsidP="00AF3F6E">
      <w:pPr>
        <w:ind w:left="-426"/>
        <w:jc w:val="center"/>
        <w:rPr>
          <w:rFonts w:ascii="Century Gothic" w:hAnsi="Century Gothic"/>
          <w:b/>
          <w:bCs/>
          <w:color w:val="222A4F"/>
          <w:sz w:val="20"/>
          <w:szCs w:val="20"/>
          <w:u w:val="single"/>
        </w:rPr>
      </w:pPr>
    </w:p>
    <w:p w14:paraId="63E9D204" w14:textId="05AE46C5" w:rsidR="0033548E" w:rsidRPr="00E23A5A" w:rsidRDefault="00934185" w:rsidP="00AF3F6E">
      <w:pPr>
        <w:pStyle w:val="Prrafodelista"/>
        <w:numPr>
          <w:ilvl w:val="0"/>
          <w:numId w:val="5"/>
        </w:numPr>
        <w:ind w:left="-426"/>
        <w:jc w:val="both"/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</w:pP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Champ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d’application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de la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garantie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:</w:t>
      </w:r>
    </w:p>
    <w:p w14:paraId="43390864" w14:textId="65C8B80D" w:rsidR="00635ACD" w:rsidRDefault="0033548E" w:rsidP="00635ACD">
      <w:pPr>
        <w:pStyle w:val="Prrafodelista"/>
        <w:ind w:left="-426"/>
        <w:jc w:val="both"/>
        <w:rPr>
          <w:rFonts w:ascii="Century Gothic" w:hAnsi="Century Gothic"/>
          <w:b/>
          <w:bCs/>
          <w:color w:val="222A4F"/>
          <w:sz w:val="20"/>
          <w:szCs w:val="20"/>
        </w:rPr>
      </w:pPr>
      <w:r w:rsidRPr="00E23A5A">
        <w:rPr>
          <w:rFonts w:ascii="Century Gothic" w:hAnsi="Century Gothic"/>
          <w:color w:val="222A4F"/>
          <w:sz w:val="20"/>
          <w:szCs w:val="20"/>
        </w:rPr>
        <w:br/>
      </w:r>
      <w:r w:rsidR="00635ACD" w:rsidRPr="00635ACD">
        <w:rPr>
          <w:rFonts w:ascii="Century Gothic" w:hAnsi="Century Gothic"/>
          <w:b/>
          <w:bCs/>
          <w:color w:val="222A4F"/>
          <w:sz w:val="20"/>
          <w:szCs w:val="20"/>
        </w:rPr>
        <w:t xml:space="preserve">AIRFAL INTERNATIONAL S.L.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garantit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que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ses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luminaires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et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produits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d’éclairage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sont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exempts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défauts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fabrication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,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matériaux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et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main-d’œuvre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lorsqu’ils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sont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fabriqués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selon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les normes en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vigueur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et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utilisés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dans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conditions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normales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d’utilisation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et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maintenance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pendant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la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période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spécifiée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>.</w:t>
      </w:r>
    </w:p>
    <w:p w14:paraId="09A75B86" w14:textId="77777777" w:rsidR="00635ACD" w:rsidRPr="00635ACD" w:rsidRDefault="00635ACD" w:rsidP="00635ACD">
      <w:pPr>
        <w:pStyle w:val="Prrafodelista"/>
        <w:ind w:left="-426"/>
        <w:jc w:val="both"/>
        <w:rPr>
          <w:rFonts w:ascii="Century Gothic" w:hAnsi="Century Gothic"/>
          <w:b/>
          <w:bCs/>
          <w:color w:val="222A4F"/>
          <w:sz w:val="20"/>
          <w:szCs w:val="20"/>
        </w:rPr>
      </w:pPr>
    </w:p>
    <w:p w14:paraId="08D41F3F" w14:textId="411E2CE8" w:rsidR="0033548E" w:rsidRPr="00E23A5A" w:rsidRDefault="00934185" w:rsidP="00AF3F6E">
      <w:pPr>
        <w:pStyle w:val="Prrafodelista"/>
        <w:numPr>
          <w:ilvl w:val="0"/>
          <w:numId w:val="5"/>
        </w:numPr>
        <w:ind w:left="-426"/>
        <w:jc w:val="both"/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</w:pP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Durée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de la </w:t>
      </w:r>
      <w:proofErr w:type="spellStart"/>
      <w:proofErr w:type="gram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garantie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:</w:t>
      </w:r>
      <w:proofErr w:type="gramEnd"/>
    </w:p>
    <w:p w14:paraId="3438EB25" w14:textId="77777777" w:rsidR="00635ACD" w:rsidRPr="00635ACD" w:rsidRDefault="0033548E" w:rsidP="00635ACD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E23A5A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br/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Sauf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accord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écrit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contraire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, </w:t>
      </w:r>
      <w:r w:rsidR="00635ACD" w:rsidRPr="00635ACD">
        <w:rPr>
          <w:rFonts w:ascii="Century Gothic" w:hAnsi="Century Gothic"/>
          <w:b/>
          <w:bCs/>
          <w:color w:val="222A4F"/>
          <w:sz w:val="20"/>
          <w:szCs w:val="20"/>
        </w:rPr>
        <w:t>AIRFAL INTERNATIONAL S.L.</w:t>
      </w:r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offre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une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 TROIS (3)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ans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à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compter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 la date du bon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livraison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/facture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pour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l’acheteur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professionnel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>.</w:t>
      </w:r>
    </w:p>
    <w:p w14:paraId="06A1AD6E" w14:textId="77777777" w:rsidR="00635ACD" w:rsidRPr="00635ACD" w:rsidRDefault="00635ACD" w:rsidP="00635ACD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059381CB" w14:textId="03871747" w:rsidR="00C61782" w:rsidRDefault="00635ACD" w:rsidP="00635ACD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De plus, une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supplémentaire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CINQ (5)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est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offerte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pour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les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composants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LED (modules et drivers)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dont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la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durée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vie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moyenne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estimée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par 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fabricant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est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50 000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heures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plus.</w:t>
      </w:r>
    </w:p>
    <w:p w14:paraId="121AC32A" w14:textId="77777777" w:rsidR="00635ACD" w:rsidRPr="00E23A5A" w:rsidRDefault="00635ACD" w:rsidP="00635ACD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1D585F03" w14:textId="57918BD5" w:rsidR="0033548E" w:rsidRPr="00E23A5A" w:rsidRDefault="00934185" w:rsidP="00AF3F6E">
      <w:pPr>
        <w:pStyle w:val="Prrafodelista"/>
        <w:numPr>
          <w:ilvl w:val="0"/>
          <w:numId w:val="5"/>
        </w:numPr>
        <w:ind w:left="-426"/>
        <w:jc w:val="both"/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</w:pP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Couverture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de la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garantie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:</w:t>
      </w:r>
    </w:p>
    <w:p w14:paraId="3088AF10" w14:textId="77777777" w:rsidR="00635ACD" w:rsidRDefault="0033548E" w:rsidP="00635ACD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E23A5A">
        <w:rPr>
          <w:rFonts w:ascii="Century Gothic" w:hAnsi="Century Gothic"/>
          <w:color w:val="222A4F"/>
          <w:sz w:val="20"/>
          <w:szCs w:val="20"/>
        </w:rPr>
        <w:br/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Cette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couvre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la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réparation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le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remplacement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(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au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choix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 AIRFAL INTERNATIONAL S.L.) des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produits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composants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présentant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défauts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fabrication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confirmés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par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notre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service</w:t>
      </w:r>
      <w:proofErr w:type="spellEnd"/>
      <w:r w:rsid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635ACD" w:rsidRPr="00635ACD">
        <w:rPr>
          <w:rFonts w:ascii="Century Gothic" w:hAnsi="Century Gothic"/>
          <w:color w:val="222A4F"/>
          <w:sz w:val="20"/>
          <w:szCs w:val="20"/>
        </w:rPr>
        <w:t>technique</w:t>
      </w:r>
      <w:proofErr w:type="spellEnd"/>
      <w:r w:rsidR="00635ACD" w:rsidRPr="00635ACD">
        <w:rPr>
          <w:rFonts w:ascii="Century Gothic" w:hAnsi="Century Gothic"/>
          <w:color w:val="222A4F"/>
          <w:sz w:val="20"/>
          <w:szCs w:val="20"/>
        </w:rPr>
        <w:t>.</w:t>
      </w:r>
      <w:r w:rsidRPr="00E23A5A">
        <w:rPr>
          <w:rFonts w:ascii="Century Gothic" w:hAnsi="Century Gothic"/>
          <w:color w:val="222A4F"/>
          <w:sz w:val="20"/>
          <w:szCs w:val="20"/>
        </w:rPr>
        <w:br/>
      </w:r>
    </w:p>
    <w:p w14:paraId="59FCC407" w14:textId="7EEBA0E7" w:rsidR="00635ACD" w:rsidRPr="00635ACD" w:rsidRDefault="00635ACD" w:rsidP="00635ACD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La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présente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s’applique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r w:rsidRPr="00635ACD">
        <w:rPr>
          <w:rFonts w:ascii="Century Gothic" w:hAnsi="Century Gothic"/>
          <w:b/>
          <w:bCs/>
          <w:color w:val="222A4F"/>
          <w:sz w:val="20"/>
          <w:szCs w:val="20"/>
        </w:rPr>
        <w:t>UNIQUEMENT</w:t>
      </w:r>
      <w:r w:rsidRPr="00635ACD">
        <w:rPr>
          <w:rFonts w:ascii="Century Gothic" w:hAnsi="Century Gothic"/>
          <w:color w:val="222A4F"/>
          <w:sz w:val="20"/>
          <w:szCs w:val="20"/>
        </w:rPr>
        <w:t xml:space="preserve"> si les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conditions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suivantes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sont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proofErr w:type="gramStart"/>
      <w:r w:rsidRPr="00635ACD">
        <w:rPr>
          <w:rFonts w:ascii="Century Gothic" w:hAnsi="Century Gothic"/>
          <w:color w:val="222A4F"/>
          <w:sz w:val="20"/>
          <w:szCs w:val="20"/>
        </w:rPr>
        <w:t>remplies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:</w:t>
      </w:r>
      <w:proofErr w:type="gramEnd"/>
    </w:p>
    <w:p w14:paraId="13BF2D1B" w14:textId="77777777" w:rsidR="00635ACD" w:rsidRDefault="00635ACD" w:rsidP="00AF3F6E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fourni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est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utilisé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conformément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aux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spécifications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du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et à son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usage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prévu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(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manuel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d'installation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et de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maintenance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>).</w:t>
      </w:r>
    </w:p>
    <w:p w14:paraId="2ECEFB7F" w14:textId="77777777" w:rsidR="00635ACD" w:rsidRDefault="00635ACD" w:rsidP="00AF3F6E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a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été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installé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et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fonctionne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dans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la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plage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conditions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environnementales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spécifiée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dans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sa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fiche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technique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correspondante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>.</w:t>
      </w:r>
    </w:p>
    <w:p w14:paraId="196AD168" w14:textId="77777777" w:rsidR="00635ACD" w:rsidRDefault="00635ACD" w:rsidP="00AF3F6E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n’a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pas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été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soumis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à des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charges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mécaniques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physiques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non conformes à son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usage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prévu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>.</w:t>
      </w:r>
    </w:p>
    <w:p w14:paraId="05C9E1C7" w14:textId="77777777" w:rsidR="00635ACD" w:rsidRDefault="00635ACD" w:rsidP="00AF3F6E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défectueux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est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correctement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emballé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accompagné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sa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note de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retour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et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envoyé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sans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frais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supplémentaires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pour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client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à AIRFAL INTERNATIONAL S.L.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dans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un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délai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maximum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trente (30)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jours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après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l’obtention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du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numéro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RMA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complet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et des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informations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requises.</w:t>
      </w:r>
    </w:p>
    <w:p w14:paraId="5267A79D" w14:textId="77777777" w:rsidR="00635ACD" w:rsidRDefault="00635ACD" w:rsidP="00AF3F6E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client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a respecté les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obligations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paiement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convenues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avec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AIRFAL INTERNATIONAL S.L.</w:t>
      </w:r>
    </w:p>
    <w:p w14:paraId="523D300C" w14:textId="7026DE6F" w:rsidR="00AF73A3" w:rsidRPr="00635ACD" w:rsidRDefault="00635ACD" w:rsidP="00AF3F6E">
      <w:pPr>
        <w:pStyle w:val="Prrafodelista"/>
        <w:ind w:left="-426"/>
        <w:jc w:val="both"/>
        <w:rPr>
          <w:rFonts w:ascii="Century Gothic" w:hAnsi="Century Gothic"/>
          <w:b/>
          <w:bCs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ni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aucune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parties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n’a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été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réparé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remplacé, ajusté,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scellé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, manipulé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modifié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par le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client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par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toute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autre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personne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non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formée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et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sans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autorisation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écrite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préalable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de </w:t>
      </w:r>
      <w:r w:rsidRPr="00635ACD">
        <w:rPr>
          <w:rFonts w:ascii="Century Gothic" w:hAnsi="Century Gothic"/>
          <w:b/>
          <w:bCs/>
          <w:color w:val="222A4F"/>
          <w:sz w:val="20"/>
          <w:szCs w:val="20"/>
        </w:rPr>
        <w:t>AIRFAL INTERNATIONAL S.L.</w:t>
      </w:r>
    </w:p>
    <w:p w14:paraId="3D94B234" w14:textId="77777777" w:rsidR="00635ACD" w:rsidRPr="00E23A5A" w:rsidRDefault="00635ACD" w:rsidP="00AF3F6E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18F832B2" w14:textId="4A76BED8" w:rsidR="00635ACD" w:rsidRDefault="00635ACD" w:rsidP="00635ACD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635ACD">
        <w:rPr>
          <w:rFonts w:ascii="Century Gothic" w:hAnsi="Century Gothic"/>
          <w:color w:val="222A4F"/>
          <w:sz w:val="20"/>
          <w:szCs w:val="20"/>
        </w:rPr>
        <w:t xml:space="preserve">La </w:t>
      </w:r>
      <w:proofErr w:type="spellStart"/>
      <w:r w:rsidRPr="00635ACD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Pr="00635ACD">
        <w:rPr>
          <w:rFonts w:ascii="Century Gothic" w:hAnsi="Century Gothic"/>
          <w:color w:val="222A4F"/>
          <w:sz w:val="20"/>
          <w:szCs w:val="20"/>
        </w:rPr>
        <w:t xml:space="preserve"> </w:t>
      </w:r>
      <w:r w:rsidRPr="008723FD">
        <w:rPr>
          <w:rFonts w:ascii="Century Gothic" w:hAnsi="Century Gothic"/>
          <w:b/>
          <w:bCs/>
          <w:color w:val="222A4F"/>
          <w:sz w:val="20"/>
          <w:szCs w:val="20"/>
        </w:rPr>
        <w:t xml:space="preserve">NE </w:t>
      </w:r>
      <w:proofErr w:type="spellStart"/>
      <w:r w:rsidRPr="008723FD">
        <w:rPr>
          <w:rFonts w:ascii="Century Gothic" w:hAnsi="Century Gothic"/>
          <w:b/>
          <w:bCs/>
          <w:color w:val="222A4F"/>
          <w:sz w:val="20"/>
          <w:szCs w:val="20"/>
        </w:rPr>
        <w:t>couvre</w:t>
      </w:r>
      <w:proofErr w:type="spellEnd"/>
      <w:r w:rsidRPr="008723FD">
        <w:rPr>
          <w:rFonts w:ascii="Century Gothic" w:hAnsi="Century Gothic"/>
          <w:b/>
          <w:bCs/>
          <w:color w:val="222A4F"/>
          <w:sz w:val="20"/>
          <w:szCs w:val="20"/>
        </w:rPr>
        <w:t xml:space="preserve"> PAS:</w:t>
      </w:r>
    </w:p>
    <w:p w14:paraId="4158C2B1" w14:textId="69749F4B" w:rsidR="0033548E" w:rsidRPr="008723FD" w:rsidRDefault="008723FD" w:rsidP="008723FD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8723FD">
        <w:rPr>
          <w:rFonts w:ascii="Century Gothic" w:hAnsi="Century Gothic"/>
          <w:color w:val="222A4F"/>
          <w:sz w:val="20"/>
          <w:szCs w:val="20"/>
        </w:rPr>
        <w:t xml:space="preserve">Les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dommages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résultant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d’une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installation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d’une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utilisation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d’une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manipulation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d’une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maintenance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incorrecte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non conforme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aux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instructions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du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fabricant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>.</w:t>
      </w:r>
    </w:p>
    <w:p w14:paraId="4CFC19DF" w14:textId="77777777" w:rsidR="008723FD" w:rsidRDefault="008723FD" w:rsidP="00AF3F6E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8723FD">
        <w:rPr>
          <w:rFonts w:ascii="Century Gothic" w:hAnsi="Century Gothic"/>
          <w:color w:val="222A4F"/>
          <w:sz w:val="20"/>
          <w:szCs w:val="20"/>
        </w:rPr>
        <w:t xml:space="preserve">Les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dommages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causés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par des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facteurs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externes, des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surtensions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électriques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des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conditions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environnementales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anormales,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une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installation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dans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environnements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inappropriés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sans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protection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adéquate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>.</w:t>
      </w:r>
    </w:p>
    <w:p w14:paraId="00500816" w14:textId="77777777" w:rsidR="008723FD" w:rsidRDefault="008723FD" w:rsidP="008723FD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L’usure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naturelle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composants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consommables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(par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exemple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sources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lumineuses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batteries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le cas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échéant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>).</w:t>
      </w:r>
    </w:p>
    <w:p w14:paraId="68807031" w14:textId="23D01205" w:rsidR="00C61782" w:rsidRPr="008723FD" w:rsidRDefault="008723FD" w:rsidP="008723FD">
      <w:pPr>
        <w:pStyle w:val="Prrafodelista"/>
        <w:numPr>
          <w:ilvl w:val="0"/>
          <w:numId w:val="6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8723FD">
        <w:rPr>
          <w:rFonts w:ascii="Century Gothic" w:hAnsi="Century Gothic"/>
          <w:color w:val="222A4F"/>
          <w:sz w:val="20"/>
          <w:szCs w:val="20"/>
        </w:rPr>
        <w:t xml:space="preserve">Les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interventions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modifications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non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autorisées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sur le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>.</w:t>
      </w:r>
    </w:p>
    <w:p w14:paraId="681AD0C9" w14:textId="77777777" w:rsidR="00AF3F6E" w:rsidRPr="00E23A5A" w:rsidRDefault="00AF3F6E" w:rsidP="00AF3F6E">
      <w:p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3E56FAC1" w14:textId="1D6139C5" w:rsidR="00934185" w:rsidRPr="00934185" w:rsidRDefault="00934185" w:rsidP="00934185">
      <w:pPr>
        <w:pStyle w:val="Prrafodelista"/>
        <w:numPr>
          <w:ilvl w:val="0"/>
          <w:numId w:val="5"/>
        </w:numPr>
        <w:ind w:left="-426"/>
        <w:rPr>
          <w:rFonts w:ascii="Century Gothic" w:hAnsi="Century Gothic"/>
          <w:color w:val="222A4F"/>
          <w:sz w:val="20"/>
          <w:szCs w:val="20"/>
        </w:rPr>
      </w:pP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Procédure</w:t>
      </w:r>
      <w:proofErr w:type="spellEnd"/>
      <w:r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</w:t>
      </w:r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de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réclamation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:</w:t>
      </w:r>
    </w:p>
    <w:p w14:paraId="7D59189B" w14:textId="15CEEC96" w:rsidR="0033548E" w:rsidRPr="00934185" w:rsidRDefault="0033548E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934185">
        <w:rPr>
          <w:rFonts w:ascii="Century Gothic" w:hAnsi="Century Gothic"/>
          <w:color w:val="222A4F"/>
          <w:sz w:val="20"/>
          <w:szCs w:val="20"/>
        </w:rPr>
        <w:br/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Toute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réclamation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au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titre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de la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devra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être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notifiée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par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écrit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à </w:t>
      </w:r>
      <w:r w:rsidR="008723FD" w:rsidRPr="00934185">
        <w:rPr>
          <w:rFonts w:ascii="Century Gothic" w:hAnsi="Century Gothic"/>
          <w:b/>
          <w:bCs/>
          <w:color w:val="222A4F"/>
          <w:sz w:val="20"/>
          <w:szCs w:val="20"/>
        </w:rPr>
        <w:t xml:space="preserve">AIRFAL INTERNATIONAL S.L.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au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moyen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du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formulaire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(RMA) et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accompagnée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="008723FD" w:rsidRPr="00934185">
        <w:rPr>
          <w:rFonts w:ascii="Century Gothic" w:hAnsi="Century Gothic"/>
          <w:color w:val="222A4F"/>
          <w:sz w:val="20"/>
          <w:szCs w:val="20"/>
        </w:rPr>
        <w:t>éléments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proofErr w:type="gramStart"/>
      <w:r w:rsidR="008723FD" w:rsidRPr="00934185">
        <w:rPr>
          <w:rFonts w:ascii="Century Gothic" w:hAnsi="Century Gothic"/>
          <w:color w:val="222A4F"/>
          <w:sz w:val="20"/>
          <w:szCs w:val="20"/>
        </w:rPr>
        <w:t>suivants</w:t>
      </w:r>
      <w:proofErr w:type="spellEnd"/>
      <w:r w:rsidR="008723FD" w:rsidRPr="00934185">
        <w:rPr>
          <w:rFonts w:ascii="Century Gothic" w:hAnsi="Century Gothic"/>
          <w:color w:val="222A4F"/>
          <w:sz w:val="20"/>
          <w:szCs w:val="20"/>
        </w:rPr>
        <w:t xml:space="preserve"> :</w:t>
      </w:r>
      <w:proofErr w:type="gramEnd"/>
    </w:p>
    <w:p w14:paraId="097D8653" w14:textId="77777777" w:rsidR="008723FD" w:rsidRDefault="008723FD" w:rsidP="00AF3F6E">
      <w:pPr>
        <w:numPr>
          <w:ilvl w:val="0"/>
          <w:numId w:val="8"/>
        </w:numPr>
        <w:tabs>
          <w:tab w:val="clear" w:pos="720"/>
        </w:tabs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Preuve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d’achat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(facture)</w:t>
      </w:r>
    </w:p>
    <w:p w14:paraId="0D7451AD" w14:textId="77777777" w:rsidR="008723FD" w:rsidRDefault="008723FD" w:rsidP="008723FD">
      <w:pPr>
        <w:numPr>
          <w:ilvl w:val="0"/>
          <w:numId w:val="8"/>
        </w:numPr>
        <w:tabs>
          <w:tab w:val="clear" w:pos="720"/>
        </w:tabs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Description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détaillée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l’incident</w:t>
      </w:r>
      <w:proofErr w:type="spellEnd"/>
    </w:p>
    <w:p w14:paraId="24596CC9" w14:textId="50DB7069" w:rsidR="008723FD" w:rsidRPr="008723FD" w:rsidRDefault="008723FD" w:rsidP="008723FD">
      <w:pPr>
        <w:numPr>
          <w:ilvl w:val="0"/>
          <w:numId w:val="8"/>
        </w:numPr>
        <w:tabs>
          <w:tab w:val="clear" w:pos="720"/>
        </w:tabs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Photographies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documentation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technique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facilitant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l’évaluation</w:t>
      </w:r>
      <w:proofErr w:type="spellEnd"/>
    </w:p>
    <w:p w14:paraId="7329309C" w14:textId="002FC15A" w:rsidR="008723FD" w:rsidRDefault="008723FD" w:rsidP="008723FD">
      <w:p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8723FD">
        <w:rPr>
          <w:rFonts w:ascii="Century Gothic" w:hAnsi="Century Gothic"/>
          <w:color w:val="222A4F"/>
          <w:sz w:val="20"/>
          <w:szCs w:val="20"/>
        </w:rPr>
        <w:t xml:space="preserve">Le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retour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produits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défectueux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nécessitera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une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autorisation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préalable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via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un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numéro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retour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(RMA)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émis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par </w:t>
      </w:r>
      <w:r w:rsidRPr="008723FD">
        <w:rPr>
          <w:rFonts w:ascii="Century Gothic" w:hAnsi="Century Gothic"/>
          <w:b/>
          <w:bCs/>
          <w:color w:val="222A4F"/>
          <w:sz w:val="20"/>
          <w:szCs w:val="20"/>
        </w:rPr>
        <w:t>AIRFAL INTERNATIONAL S.L.</w:t>
      </w:r>
      <w:r>
        <w:rPr>
          <w:rFonts w:ascii="Century Gothic" w:hAnsi="Century Gothic"/>
          <w:color w:val="222A4F"/>
          <w:sz w:val="20"/>
          <w:szCs w:val="20"/>
        </w:rPr>
        <w:t xml:space="preserve"> </w:t>
      </w:r>
      <w:r w:rsidRPr="008723FD">
        <w:rPr>
          <w:rFonts w:ascii="Century Gothic" w:hAnsi="Century Gothic"/>
          <w:color w:val="222A4F"/>
          <w:sz w:val="20"/>
          <w:szCs w:val="20"/>
        </w:rPr>
        <w:t xml:space="preserve">Les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frais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d’expédition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initiaux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seront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à la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charge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du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client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. En cas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d’acceptation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 la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Airfal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prendra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en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charge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les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frais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retour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au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client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>.</w:t>
      </w:r>
    </w:p>
    <w:p w14:paraId="765867A7" w14:textId="59EA88A4" w:rsidR="00C61782" w:rsidRPr="00E23A5A" w:rsidRDefault="008723FD" w:rsidP="008723FD">
      <w:p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Veuillez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noter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que plus les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informations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fournies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via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le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formulaire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RMA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seront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complètes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et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précises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plus le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processus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d’analyse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l’incident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sera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rapide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et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efficace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, ce qui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permettra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réduire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les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délais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diagnostic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et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d’accélérer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la mise en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œuvre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d’une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solution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8723FD">
        <w:rPr>
          <w:rFonts w:ascii="Century Gothic" w:hAnsi="Century Gothic"/>
          <w:color w:val="222A4F"/>
          <w:sz w:val="20"/>
          <w:szCs w:val="20"/>
        </w:rPr>
        <w:t>appropriée</w:t>
      </w:r>
      <w:proofErr w:type="spellEnd"/>
      <w:r w:rsidRPr="008723FD">
        <w:rPr>
          <w:rFonts w:ascii="Century Gothic" w:hAnsi="Century Gothic"/>
          <w:color w:val="222A4F"/>
          <w:sz w:val="20"/>
          <w:szCs w:val="20"/>
        </w:rPr>
        <w:t>.</w:t>
      </w:r>
    </w:p>
    <w:p w14:paraId="30BEBEEF" w14:textId="6D1A19EB" w:rsidR="0033548E" w:rsidRPr="00E23A5A" w:rsidRDefault="00934185" w:rsidP="00AF3F6E">
      <w:pPr>
        <w:pStyle w:val="Prrafodelista"/>
        <w:numPr>
          <w:ilvl w:val="0"/>
          <w:numId w:val="5"/>
        </w:numPr>
        <w:ind w:left="-426"/>
        <w:jc w:val="both"/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</w:pP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Limitation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de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responsabilité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:</w:t>
      </w:r>
    </w:p>
    <w:p w14:paraId="7BE5AB27" w14:textId="77777777" w:rsid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1766AC8D" w14:textId="581D6CD9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934185">
        <w:rPr>
          <w:rFonts w:ascii="Century Gothic" w:hAnsi="Century Gothic"/>
          <w:color w:val="222A4F"/>
          <w:sz w:val="20"/>
          <w:szCs w:val="20"/>
        </w:rPr>
        <w:t xml:space="preserve">La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responsabilité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r w:rsidRPr="00934185">
        <w:rPr>
          <w:rFonts w:ascii="Century Gothic" w:hAnsi="Century Gothic"/>
          <w:b/>
          <w:bCs/>
          <w:color w:val="222A4F"/>
          <w:sz w:val="20"/>
          <w:szCs w:val="20"/>
        </w:rPr>
        <w:t>AIRFAL INTERNATIONAL S.L.,</w:t>
      </w:r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conformément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aux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termes de la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présente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est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strictement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limitée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aux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coûts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directs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liés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à la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réparation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au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remplacement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du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défectueux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selon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un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diagnostic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technique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validé.</w:t>
      </w:r>
    </w:p>
    <w:p w14:paraId="56012BC1" w14:textId="58F66A79" w:rsidR="005E2DCE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934185">
        <w:rPr>
          <w:rFonts w:ascii="Century Gothic" w:hAnsi="Century Gothic"/>
          <w:color w:val="222A4F"/>
          <w:sz w:val="20"/>
          <w:szCs w:val="20"/>
        </w:rPr>
        <w:t xml:space="preserve">En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aucun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cas, AIRFAL INTERNATIONAL S.L.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ne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pourra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être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tenue responsable des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dommages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indirects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du </w:t>
      </w:r>
      <w:proofErr w:type="gramStart"/>
      <w:r w:rsidRPr="00934185">
        <w:rPr>
          <w:rFonts w:ascii="Century Gothic" w:hAnsi="Century Gothic"/>
          <w:color w:val="222A4F"/>
          <w:sz w:val="20"/>
          <w:szCs w:val="20"/>
        </w:rPr>
        <w:t>manque</w:t>
      </w:r>
      <w:proofErr w:type="gramEnd"/>
      <w:r w:rsidRPr="00934185">
        <w:rPr>
          <w:rFonts w:ascii="Century Gothic" w:hAnsi="Century Gothic"/>
          <w:color w:val="222A4F"/>
          <w:sz w:val="20"/>
          <w:szCs w:val="20"/>
        </w:rPr>
        <w:t xml:space="preserve"> à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gagner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des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frais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montage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démontage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luminaires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des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dommages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collatéraux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à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l’installation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des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interruptions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processus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production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ni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d’aucun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autre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préjudice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coût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conséquence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résultant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directement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indirectement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du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défaut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constaté.</w:t>
      </w:r>
    </w:p>
    <w:p w14:paraId="6BF95ACD" w14:textId="77777777" w:rsidR="00934185" w:rsidRPr="00E23A5A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26FF50B3" w14:textId="231CB7F3" w:rsidR="00934185" w:rsidRPr="00934185" w:rsidRDefault="00934185" w:rsidP="00C86B32">
      <w:pPr>
        <w:pStyle w:val="Prrafodelista"/>
        <w:numPr>
          <w:ilvl w:val="0"/>
          <w:numId w:val="5"/>
        </w:numPr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Conditions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spéciales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pour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les </w:t>
      </w: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produits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ATEX</w:t>
      </w:r>
      <w:r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:</w:t>
      </w:r>
    </w:p>
    <w:p w14:paraId="1731D08B" w14:textId="77777777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0DF8D49C" w14:textId="2BA6545D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934185">
        <w:rPr>
          <w:rFonts w:ascii="Century Gothic" w:hAnsi="Century Gothic"/>
          <w:color w:val="222A4F"/>
          <w:sz w:val="20"/>
          <w:szCs w:val="20"/>
        </w:rPr>
        <w:t xml:space="preserve">Tous les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produits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ATEX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d’Airfal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International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sont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conformes à la Directive ATEX 2014/34/UE et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sont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livrés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avec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la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certification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correspondante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>.</w:t>
      </w:r>
    </w:p>
    <w:p w14:paraId="2CDE3148" w14:textId="1E011C45" w:rsidR="00C61782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934185">
        <w:rPr>
          <w:rFonts w:ascii="Century Gothic" w:hAnsi="Century Gothic"/>
          <w:color w:val="222A4F"/>
          <w:sz w:val="20"/>
          <w:szCs w:val="20"/>
        </w:rPr>
        <w:t xml:space="preserve">La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ne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couvre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pas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les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défauts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dommages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résultant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d’une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utilisation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dans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environnements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non compatibles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avec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la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classification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ATEX du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produit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ni les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modifications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susceptibles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d’altérer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sa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certification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ou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sa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sécurité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>.</w:t>
      </w:r>
    </w:p>
    <w:p w14:paraId="243E9505" w14:textId="77777777" w:rsidR="00934185" w:rsidRPr="00E23A5A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6602DEB1" w14:textId="219ABFA6" w:rsidR="00C61782" w:rsidRPr="00E23A5A" w:rsidRDefault="00934185" w:rsidP="00AF3F6E">
      <w:pPr>
        <w:pStyle w:val="Prrafodelista"/>
        <w:numPr>
          <w:ilvl w:val="0"/>
          <w:numId w:val="5"/>
        </w:numPr>
        <w:ind w:left="-426"/>
        <w:jc w:val="both"/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</w:pPr>
      <w:proofErr w:type="spell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Législation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</w:t>
      </w:r>
      <w:proofErr w:type="spellStart"/>
      <w:proofErr w:type="gramStart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>applicable</w:t>
      </w:r>
      <w:proofErr w:type="spellEnd"/>
      <w:r w:rsidRPr="00934185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t xml:space="preserve"> :</w:t>
      </w:r>
      <w:proofErr w:type="gramEnd"/>
    </w:p>
    <w:p w14:paraId="21AB06DB" w14:textId="77777777" w:rsidR="00934185" w:rsidRPr="00934185" w:rsidRDefault="0033548E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E23A5A">
        <w:rPr>
          <w:rFonts w:ascii="Century Gothic" w:hAnsi="Century Gothic"/>
          <w:b/>
          <w:bCs/>
          <w:i/>
          <w:iCs/>
          <w:color w:val="222A4F"/>
          <w:sz w:val="20"/>
          <w:szCs w:val="20"/>
        </w:rPr>
        <w:br/>
      </w:r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La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présente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est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soumise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au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droit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espagnol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, à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l’exclusion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dispositions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de la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Convention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des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Nations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Unies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sur les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contrats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de vente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internationale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="00934185" w:rsidRPr="00934185">
        <w:rPr>
          <w:rFonts w:ascii="Century Gothic" w:hAnsi="Century Gothic"/>
          <w:color w:val="222A4F"/>
          <w:sz w:val="20"/>
          <w:szCs w:val="20"/>
        </w:rPr>
        <w:t>marchandises</w:t>
      </w:r>
      <w:proofErr w:type="spellEnd"/>
      <w:r w:rsidR="00934185" w:rsidRPr="00934185">
        <w:rPr>
          <w:rFonts w:ascii="Century Gothic" w:hAnsi="Century Gothic"/>
          <w:color w:val="222A4F"/>
          <w:sz w:val="20"/>
          <w:szCs w:val="20"/>
        </w:rPr>
        <w:t>.</w:t>
      </w:r>
    </w:p>
    <w:p w14:paraId="3932C52B" w14:textId="77777777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  <w:r w:rsidRPr="00934185">
        <w:rPr>
          <w:rFonts w:ascii="Century Gothic" w:hAnsi="Century Gothic"/>
          <w:color w:val="222A4F"/>
          <w:sz w:val="20"/>
          <w:szCs w:val="20"/>
        </w:rPr>
        <w:t xml:space="preserve">Le tribunal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compétent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pour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tout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litige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découlant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cette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garantie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sera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celui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 de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Saragosse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 xml:space="preserve">, </w:t>
      </w:r>
      <w:proofErr w:type="spellStart"/>
      <w:r w:rsidRPr="00934185">
        <w:rPr>
          <w:rFonts w:ascii="Century Gothic" w:hAnsi="Century Gothic"/>
          <w:color w:val="222A4F"/>
          <w:sz w:val="20"/>
          <w:szCs w:val="20"/>
        </w:rPr>
        <w:t>Espagne</w:t>
      </w:r>
      <w:proofErr w:type="spellEnd"/>
      <w:r w:rsidRPr="00934185">
        <w:rPr>
          <w:rFonts w:ascii="Century Gothic" w:hAnsi="Century Gothic"/>
          <w:color w:val="222A4F"/>
          <w:sz w:val="20"/>
          <w:szCs w:val="20"/>
        </w:rPr>
        <w:t>.</w:t>
      </w:r>
    </w:p>
    <w:p w14:paraId="6BC2D2A4" w14:textId="77777777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2C17DD7B" w14:textId="77777777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2A9893EC" w14:textId="77777777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3A6F8F37" w14:textId="77777777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64D5F996" w14:textId="77777777" w:rsidR="00934185" w:rsidRPr="00934185" w:rsidRDefault="00934185" w:rsidP="00934185">
      <w:pPr>
        <w:pStyle w:val="Prrafodelista"/>
        <w:ind w:left="-426"/>
        <w:jc w:val="both"/>
        <w:rPr>
          <w:rFonts w:ascii="Century Gothic" w:hAnsi="Century Gothic"/>
          <w:color w:val="222A4F"/>
          <w:sz w:val="20"/>
          <w:szCs w:val="20"/>
        </w:rPr>
      </w:pPr>
    </w:p>
    <w:p w14:paraId="298FFF16" w14:textId="7FD4C9B4" w:rsidR="0033548E" w:rsidRPr="006A790F" w:rsidRDefault="0033548E" w:rsidP="00934185">
      <w:pPr>
        <w:pStyle w:val="Prrafodelista"/>
        <w:ind w:left="-426"/>
        <w:jc w:val="both"/>
        <w:rPr>
          <w:rFonts w:ascii="Century Gothic" w:hAnsi="Century Gothic"/>
          <w:b/>
          <w:bCs/>
          <w:color w:val="222A4F"/>
        </w:rPr>
      </w:pPr>
    </w:p>
    <w:sectPr w:rsidR="0033548E" w:rsidRPr="006A790F" w:rsidSect="0033548E">
      <w:headerReference w:type="default" r:id="rId10"/>
      <w:footerReference w:type="default" r:id="rId11"/>
      <w:pgSz w:w="11906" w:h="16838"/>
      <w:pgMar w:top="1417" w:right="1558" w:bottom="1134" w:left="1701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0DAD" w14:textId="77777777" w:rsidR="0080717D" w:rsidRDefault="0080717D">
      <w:pPr>
        <w:spacing w:after="0" w:line="240" w:lineRule="auto"/>
      </w:pPr>
      <w:r>
        <w:separator/>
      </w:r>
    </w:p>
  </w:endnote>
  <w:endnote w:type="continuationSeparator" w:id="0">
    <w:p w14:paraId="4D3A6C85" w14:textId="77777777" w:rsidR="0080717D" w:rsidRDefault="0080717D">
      <w:pPr>
        <w:spacing w:after="0" w:line="240" w:lineRule="auto"/>
      </w:pPr>
      <w:r>
        <w:continuationSeparator/>
      </w:r>
    </w:p>
  </w:endnote>
  <w:endnote w:type="continuationNotice" w:id="1">
    <w:p w14:paraId="2A7A58E6" w14:textId="77777777" w:rsidR="0080717D" w:rsidRDefault="00807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rminal Dosis">
    <w:altName w:val="Trebuchet MS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9C93" w14:textId="77777777" w:rsidR="00403337" w:rsidRDefault="00403337" w:rsidP="00403337">
    <w:pPr>
      <w:pStyle w:val="Piedepgina"/>
      <w:jc w:val="center"/>
      <w:rPr>
        <w:rFonts w:ascii="Terminal Dosis" w:hAnsi="Terminal Dosis"/>
        <w:b/>
      </w:rPr>
    </w:pPr>
    <w:r w:rsidRPr="00C66483">
      <w:rPr>
        <w:rFonts w:ascii="Terminal Dosis" w:hAnsi="Terminal Dosis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4DDD18" wp14:editId="1127C29B">
              <wp:simplePos x="0" y="0"/>
              <wp:positionH relativeFrom="column">
                <wp:posOffset>-1209675</wp:posOffset>
              </wp:positionH>
              <wp:positionV relativeFrom="paragraph">
                <wp:posOffset>8890</wp:posOffset>
              </wp:positionV>
              <wp:extent cx="3903345" cy="198755"/>
              <wp:effectExtent l="0" t="0" r="190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3345" cy="198755"/>
                      </a:xfrm>
                      <a:prstGeom prst="rect">
                        <a:avLst/>
                      </a:prstGeom>
                      <a:solidFill>
                        <a:srgbClr val="DC1E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E1C38F" id="Rectángulo 1" o:spid="_x0000_s1026" style="position:absolute;margin-left:-95.25pt;margin-top:.7pt;width:307.35pt;height:1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" fillcolor="#dc1e36" stroked="f" strokeweight="1pt"/>
          </w:pict>
        </mc:Fallback>
      </mc:AlternateContent>
    </w:r>
    <w:r w:rsidRPr="00C66483">
      <w:rPr>
        <w:rFonts w:ascii="Terminal Dosis" w:hAnsi="Terminal Dosis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616277" wp14:editId="5C0B44DF">
              <wp:simplePos x="0" y="0"/>
              <wp:positionH relativeFrom="column">
                <wp:posOffset>2616835</wp:posOffset>
              </wp:positionH>
              <wp:positionV relativeFrom="paragraph">
                <wp:posOffset>2540</wp:posOffset>
              </wp:positionV>
              <wp:extent cx="3903345" cy="198755"/>
              <wp:effectExtent l="0" t="0" r="190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3345" cy="198755"/>
                      </a:xfrm>
                      <a:prstGeom prst="rect">
                        <a:avLst/>
                      </a:prstGeom>
                      <a:solidFill>
                        <a:srgbClr val="43536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28E7A1" id="Rectángulo 2" o:spid="_x0000_s1026" style="position:absolute;margin-left:206.05pt;margin-top:.2pt;width:307.35pt;height:1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" fillcolor="#435363" stroked="f" strokeweight="1pt"/>
          </w:pict>
        </mc:Fallback>
      </mc:AlternateContent>
    </w:r>
  </w:p>
  <w:p w14:paraId="3C0E8513" w14:textId="77777777" w:rsidR="00403337" w:rsidRDefault="00403337" w:rsidP="00403337">
    <w:pPr>
      <w:pStyle w:val="Piedepgina"/>
      <w:jc w:val="right"/>
      <w:rPr>
        <w:rFonts w:ascii="Terminal Dosis" w:hAnsi="Terminal Dosis"/>
        <w:b/>
      </w:rPr>
    </w:pPr>
  </w:p>
  <w:p w14:paraId="1414034B" w14:textId="77777777" w:rsidR="00403337" w:rsidRPr="00B53958" w:rsidRDefault="00403337" w:rsidP="00403337">
    <w:pPr>
      <w:pStyle w:val="Piedepgina"/>
      <w:jc w:val="right"/>
      <w:rPr>
        <w:rFonts w:ascii="Terminal Dosis" w:hAnsi="Terminal Dosis"/>
        <w:b/>
      </w:rPr>
    </w:pPr>
    <w:r w:rsidRPr="00B53958">
      <w:rPr>
        <w:rFonts w:ascii="Terminal Dosis" w:hAnsi="Terminal Dosis"/>
        <w:b/>
      </w:rPr>
      <w:t>R</w:t>
    </w:r>
    <w:r>
      <w:rPr>
        <w:rFonts w:ascii="Terminal Dosis" w:hAnsi="Terminal Dosis"/>
        <w:b/>
      </w:rPr>
      <w:t>í</w:t>
    </w:r>
    <w:r w:rsidRPr="00B53958">
      <w:rPr>
        <w:rFonts w:ascii="Terminal Dosis" w:hAnsi="Terminal Dosis"/>
        <w:b/>
      </w:rPr>
      <w:t xml:space="preserve">o Ésera </w:t>
    </w:r>
    <w:r>
      <w:rPr>
        <w:rFonts w:ascii="Terminal Dosis" w:hAnsi="Terminal Dosis"/>
        <w:b/>
      </w:rPr>
      <w:t>5</w:t>
    </w:r>
    <w:r w:rsidRPr="00B53958">
      <w:rPr>
        <w:rFonts w:ascii="Terminal Dosis" w:hAnsi="Terminal Dosis"/>
        <w:b/>
      </w:rPr>
      <w:t>, 50830 – Villanueva de Gállego – Zaragoza (</w:t>
    </w:r>
    <w:r>
      <w:rPr>
        <w:rFonts w:ascii="Terminal Dosis" w:hAnsi="Terminal Dosis"/>
        <w:b/>
      </w:rPr>
      <w:t>España</w:t>
    </w:r>
    <w:r w:rsidRPr="00B53958">
      <w:rPr>
        <w:rFonts w:ascii="Terminal Dosis" w:hAnsi="Terminal Dosis"/>
        <w:b/>
      </w:rPr>
      <w:t>)</w:t>
    </w:r>
  </w:p>
  <w:p w14:paraId="5ECF2278" w14:textId="77777777" w:rsidR="00403337" w:rsidRPr="00B53958" w:rsidRDefault="00403337" w:rsidP="00403337">
    <w:pPr>
      <w:pStyle w:val="Piedepgina"/>
      <w:jc w:val="right"/>
      <w:rPr>
        <w:rFonts w:ascii="Terminal Dosis" w:hAnsi="Terminal Dosis"/>
        <w:b/>
      </w:rPr>
    </w:pPr>
    <w:r w:rsidRPr="00B53958">
      <w:rPr>
        <w:rFonts w:ascii="Terminal Dosis" w:hAnsi="Terminal Dosis"/>
        <w:b/>
      </w:rPr>
      <w:t>T. 34 976 18 58 09 – F. 34 976 18 60 86</w:t>
    </w:r>
  </w:p>
  <w:p w14:paraId="45762E6E" w14:textId="43552FE8" w:rsidR="00403337" w:rsidRPr="00403337" w:rsidRDefault="00403337" w:rsidP="00403337">
    <w:pPr>
      <w:pStyle w:val="Piedepgina"/>
      <w:jc w:val="right"/>
      <w:rPr>
        <w:b/>
        <w:color w:val="FF0000"/>
        <w:sz w:val="24"/>
      </w:rPr>
    </w:pPr>
    <w:r>
      <w:rPr>
        <w:b/>
        <w:color w:val="FF0000"/>
        <w:sz w:val="24"/>
      </w:rPr>
      <w:t>www.airfal.com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58EB" w14:textId="77777777" w:rsidR="0080717D" w:rsidRDefault="0080717D">
      <w:pPr>
        <w:spacing w:after="0" w:line="240" w:lineRule="auto"/>
      </w:pPr>
      <w:r>
        <w:separator/>
      </w:r>
    </w:p>
  </w:footnote>
  <w:footnote w:type="continuationSeparator" w:id="0">
    <w:p w14:paraId="4D685CD9" w14:textId="77777777" w:rsidR="0080717D" w:rsidRDefault="0080717D">
      <w:pPr>
        <w:spacing w:after="0" w:line="240" w:lineRule="auto"/>
      </w:pPr>
      <w:r>
        <w:continuationSeparator/>
      </w:r>
    </w:p>
  </w:footnote>
  <w:footnote w:type="continuationNotice" w:id="1">
    <w:p w14:paraId="2B7DD0A9" w14:textId="77777777" w:rsidR="0080717D" w:rsidRDefault="00807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69E5" w14:textId="0550C9D7" w:rsidR="00BD2DBB" w:rsidRPr="00E23A5A" w:rsidRDefault="006168A9" w:rsidP="0033548E">
    <w:pPr>
      <w:pStyle w:val="Encabezado"/>
      <w:ind w:left="-284"/>
      <w:jc w:val="right"/>
      <w:rPr>
        <w:sz w:val="20"/>
        <w:szCs w:val="20"/>
      </w:rPr>
    </w:pPr>
    <w:r w:rsidRPr="00E23A5A"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641D9312" wp14:editId="335680A0">
          <wp:simplePos x="0" y="0"/>
          <wp:positionH relativeFrom="column">
            <wp:posOffset>-265479</wp:posOffset>
          </wp:positionH>
          <wp:positionV relativeFrom="paragraph">
            <wp:posOffset>-262450</wp:posOffset>
          </wp:positionV>
          <wp:extent cx="1135380" cy="524391"/>
          <wp:effectExtent l="0" t="0" r="7620" b="9525"/>
          <wp:wrapNone/>
          <wp:docPr id="1412328640" name="Imagen 1412328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48E" w:rsidRPr="00E23A5A">
      <w:rPr>
        <w:sz w:val="20"/>
        <w:szCs w:val="20"/>
      </w:rPr>
      <w:t>Departamento de CALIDAD</w:t>
    </w:r>
  </w:p>
  <w:p w14:paraId="478855A6" w14:textId="450314AD" w:rsidR="00BD2DBB" w:rsidRPr="00E23A5A" w:rsidRDefault="00E23A5A" w:rsidP="00E23A5A">
    <w:pPr>
      <w:pStyle w:val="Encabezado"/>
      <w:ind w:left="-284"/>
      <w:jc w:val="right"/>
      <w:rPr>
        <w:b/>
        <w:bCs/>
        <w:sz w:val="20"/>
        <w:szCs w:val="20"/>
      </w:rPr>
    </w:pPr>
    <w:r>
      <w:rPr>
        <w:rFonts w:ascii="Century Gothic" w:hAnsi="Century Gothic"/>
        <w:b/>
        <w:noProof/>
        <w:color w:val="222A4F"/>
        <w:sz w:val="17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43C1F1" wp14:editId="60598BAB">
              <wp:simplePos x="0" y="0"/>
              <wp:positionH relativeFrom="column">
                <wp:posOffset>-161290</wp:posOffset>
              </wp:positionH>
              <wp:positionV relativeFrom="paragraph">
                <wp:posOffset>211867</wp:posOffset>
              </wp:positionV>
              <wp:extent cx="5759450" cy="0"/>
              <wp:effectExtent l="0" t="19050" r="31750" b="19050"/>
              <wp:wrapNone/>
              <wp:docPr id="1423340741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567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4FBC9E" id="Conector recto 3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pt,16.7pt" to="440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" strokecolor="#005670" strokeweight="3pt">
              <v:stroke joinstyle="miter"/>
            </v:line>
          </w:pict>
        </mc:Fallback>
      </mc:AlternateContent>
    </w:r>
    <w:r w:rsidRPr="00E23A5A">
      <w:rPr>
        <w:b/>
        <w:bCs/>
        <w:sz w:val="20"/>
        <w:szCs w:val="20"/>
      </w:rPr>
      <w:t>Mayo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A29"/>
    <w:multiLevelType w:val="hybridMultilevel"/>
    <w:tmpl w:val="26E8E3E6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3374EC"/>
    <w:multiLevelType w:val="multilevel"/>
    <w:tmpl w:val="6630D1BE"/>
    <w:lvl w:ilvl="0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F353E"/>
    <w:multiLevelType w:val="multilevel"/>
    <w:tmpl w:val="76F29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F0779"/>
    <w:multiLevelType w:val="hybridMultilevel"/>
    <w:tmpl w:val="40E28E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671AFD"/>
    <w:multiLevelType w:val="hybridMultilevel"/>
    <w:tmpl w:val="71DA1A58"/>
    <w:lvl w:ilvl="0" w:tplc="CF4AD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5ED9"/>
    <w:multiLevelType w:val="multilevel"/>
    <w:tmpl w:val="0710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67880"/>
    <w:multiLevelType w:val="multilevel"/>
    <w:tmpl w:val="BFDCE1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E50C4"/>
    <w:multiLevelType w:val="hybridMultilevel"/>
    <w:tmpl w:val="9EA6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35780">
    <w:abstractNumId w:val="3"/>
  </w:num>
  <w:num w:numId="2" w16cid:durableId="166797705">
    <w:abstractNumId w:val="4"/>
  </w:num>
  <w:num w:numId="3" w16cid:durableId="8802124">
    <w:abstractNumId w:val="2"/>
  </w:num>
  <w:num w:numId="4" w16cid:durableId="91626814">
    <w:abstractNumId w:val="5"/>
  </w:num>
  <w:num w:numId="5" w16cid:durableId="530804464">
    <w:abstractNumId w:val="7"/>
  </w:num>
  <w:num w:numId="6" w16cid:durableId="1953396299">
    <w:abstractNumId w:val="0"/>
  </w:num>
  <w:num w:numId="7" w16cid:durableId="1160845467">
    <w:abstractNumId w:val="1"/>
  </w:num>
  <w:num w:numId="8" w16cid:durableId="614212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AE"/>
    <w:rsid w:val="00002630"/>
    <w:rsid w:val="0002749A"/>
    <w:rsid w:val="00040A84"/>
    <w:rsid w:val="00061133"/>
    <w:rsid w:val="00072BC3"/>
    <w:rsid w:val="00082E63"/>
    <w:rsid w:val="000A25A4"/>
    <w:rsid w:val="000B7E1A"/>
    <w:rsid w:val="000C54C3"/>
    <w:rsid w:val="000C631A"/>
    <w:rsid w:val="000D0529"/>
    <w:rsid w:val="000F633E"/>
    <w:rsid w:val="00113568"/>
    <w:rsid w:val="00134448"/>
    <w:rsid w:val="001355A7"/>
    <w:rsid w:val="00154554"/>
    <w:rsid w:val="001630B7"/>
    <w:rsid w:val="001636A4"/>
    <w:rsid w:val="002C6B89"/>
    <w:rsid w:val="00325CCC"/>
    <w:rsid w:val="0033046E"/>
    <w:rsid w:val="0033548E"/>
    <w:rsid w:val="00361680"/>
    <w:rsid w:val="00367168"/>
    <w:rsid w:val="00392B70"/>
    <w:rsid w:val="003B33AD"/>
    <w:rsid w:val="003E5951"/>
    <w:rsid w:val="00403337"/>
    <w:rsid w:val="004112AC"/>
    <w:rsid w:val="004405ED"/>
    <w:rsid w:val="00455E74"/>
    <w:rsid w:val="004C217E"/>
    <w:rsid w:val="004F7789"/>
    <w:rsid w:val="004F7983"/>
    <w:rsid w:val="005419AA"/>
    <w:rsid w:val="00551EDB"/>
    <w:rsid w:val="00564E47"/>
    <w:rsid w:val="005C0F15"/>
    <w:rsid w:val="005C3132"/>
    <w:rsid w:val="005E2DCE"/>
    <w:rsid w:val="006168A9"/>
    <w:rsid w:val="00635ACD"/>
    <w:rsid w:val="00637B2F"/>
    <w:rsid w:val="006514FF"/>
    <w:rsid w:val="00666761"/>
    <w:rsid w:val="006958ED"/>
    <w:rsid w:val="006A790F"/>
    <w:rsid w:val="006B75B1"/>
    <w:rsid w:val="006C5A69"/>
    <w:rsid w:val="006C722F"/>
    <w:rsid w:val="00704772"/>
    <w:rsid w:val="00726FFC"/>
    <w:rsid w:val="00742B5D"/>
    <w:rsid w:val="00742E3F"/>
    <w:rsid w:val="00754E3D"/>
    <w:rsid w:val="007954F8"/>
    <w:rsid w:val="007A61A9"/>
    <w:rsid w:val="007E3CE2"/>
    <w:rsid w:val="0080717D"/>
    <w:rsid w:val="00817660"/>
    <w:rsid w:val="00830427"/>
    <w:rsid w:val="00841DB2"/>
    <w:rsid w:val="00854AC1"/>
    <w:rsid w:val="00860D4A"/>
    <w:rsid w:val="008723FD"/>
    <w:rsid w:val="00895E80"/>
    <w:rsid w:val="008C23AE"/>
    <w:rsid w:val="00907647"/>
    <w:rsid w:val="009145AA"/>
    <w:rsid w:val="0092102F"/>
    <w:rsid w:val="00934185"/>
    <w:rsid w:val="009627FE"/>
    <w:rsid w:val="009958BA"/>
    <w:rsid w:val="00A53D40"/>
    <w:rsid w:val="00A579EB"/>
    <w:rsid w:val="00A63843"/>
    <w:rsid w:val="00A7717C"/>
    <w:rsid w:val="00AF3F6E"/>
    <w:rsid w:val="00AF73A3"/>
    <w:rsid w:val="00B32BC8"/>
    <w:rsid w:val="00B422A3"/>
    <w:rsid w:val="00B55615"/>
    <w:rsid w:val="00B73429"/>
    <w:rsid w:val="00BD2DBB"/>
    <w:rsid w:val="00C32206"/>
    <w:rsid w:val="00C44D75"/>
    <w:rsid w:val="00C52076"/>
    <w:rsid w:val="00C61782"/>
    <w:rsid w:val="00C638DA"/>
    <w:rsid w:val="00C81847"/>
    <w:rsid w:val="00C9292E"/>
    <w:rsid w:val="00D573C2"/>
    <w:rsid w:val="00D61B18"/>
    <w:rsid w:val="00D71426"/>
    <w:rsid w:val="00D740A8"/>
    <w:rsid w:val="00DE27A0"/>
    <w:rsid w:val="00E23A5A"/>
    <w:rsid w:val="00EB239F"/>
    <w:rsid w:val="00EC3D88"/>
    <w:rsid w:val="00ED58CA"/>
    <w:rsid w:val="00F2277C"/>
    <w:rsid w:val="00F256FD"/>
    <w:rsid w:val="00F264D3"/>
    <w:rsid w:val="00F33790"/>
    <w:rsid w:val="00F40173"/>
    <w:rsid w:val="00F412C9"/>
    <w:rsid w:val="00F71476"/>
    <w:rsid w:val="00F72DDB"/>
    <w:rsid w:val="00FB3787"/>
    <w:rsid w:val="00FB4051"/>
    <w:rsid w:val="00FD47FE"/>
    <w:rsid w:val="011358BC"/>
    <w:rsid w:val="02024485"/>
    <w:rsid w:val="021368F0"/>
    <w:rsid w:val="0219038E"/>
    <w:rsid w:val="03378269"/>
    <w:rsid w:val="06DDE5A4"/>
    <w:rsid w:val="06E6DA13"/>
    <w:rsid w:val="086316E2"/>
    <w:rsid w:val="0882AA74"/>
    <w:rsid w:val="095C329F"/>
    <w:rsid w:val="097404EF"/>
    <w:rsid w:val="09941B41"/>
    <w:rsid w:val="0997A98D"/>
    <w:rsid w:val="09BB4D88"/>
    <w:rsid w:val="09D93463"/>
    <w:rsid w:val="0A336DBA"/>
    <w:rsid w:val="0A8EC1B6"/>
    <w:rsid w:val="0AD3A12B"/>
    <w:rsid w:val="0B8DD999"/>
    <w:rsid w:val="0BBA4B36"/>
    <w:rsid w:val="0C0D4B36"/>
    <w:rsid w:val="0C6A462A"/>
    <w:rsid w:val="0C9AC4E9"/>
    <w:rsid w:val="0C9C3047"/>
    <w:rsid w:val="108A625A"/>
    <w:rsid w:val="10C793FC"/>
    <w:rsid w:val="10CE6862"/>
    <w:rsid w:val="10F93C44"/>
    <w:rsid w:val="119CF39F"/>
    <w:rsid w:val="1376E60A"/>
    <w:rsid w:val="146D1957"/>
    <w:rsid w:val="14EB0A2B"/>
    <w:rsid w:val="15A19B7C"/>
    <w:rsid w:val="15F80E9C"/>
    <w:rsid w:val="17F74102"/>
    <w:rsid w:val="188B8FC7"/>
    <w:rsid w:val="18E21B4B"/>
    <w:rsid w:val="1AC0C224"/>
    <w:rsid w:val="1B68CF92"/>
    <w:rsid w:val="1B821F2D"/>
    <w:rsid w:val="1BBF3429"/>
    <w:rsid w:val="1CE9D967"/>
    <w:rsid w:val="1DC0C560"/>
    <w:rsid w:val="214EE2E9"/>
    <w:rsid w:val="220186A2"/>
    <w:rsid w:val="237DF96C"/>
    <w:rsid w:val="23C2420E"/>
    <w:rsid w:val="23DB1244"/>
    <w:rsid w:val="2608D1A0"/>
    <w:rsid w:val="278B730B"/>
    <w:rsid w:val="2813BEBB"/>
    <w:rsid w:val="28A79FA6"/>
    <w:rsid w:val="29B122B3"/>
    <w:rsid w:val="2ABDBD91"/>
    <w:rsid w:val="2BD3F5ED"/>
    <w:rsid w:val="2CC91AE6"/>
    <w:rsid w:val="2CE75478"/>
    <w:rsid w:val="2DCABEB1"/>
    <w:rsid w:val="2FAD3889"/>
    <w:rsid w:val="2FF3D5F4"/>
    <w:rsid w:val="303F8B79"/>
    <w:rsid w:val="318FA655"/>
    <w:rsid w:val="3220C208"/>
    <w:rsid w:val="35599EEF"/>
    <w:rsid w:val="36A78595"/>
    <w:rsid w:val="3712B85D"/>
    <w:rsid w:val="37B568F6"/>
    <w:rsid w:val="37B59034"/>
    <w:rsid w:val="37F6FB4E"/>
    <w:rsid w:val="384C3B8D"/>
    <w:rsid w:val="38762D07"/>
    <w:rsid w:val="393810FA"/>
    <w:rsid w:val="3ACDDF64"/>
    <w:rsid w:val="3B3CA80E"/>
    <w:rsid w:val="3D38D50D"/>
    <w:rsid w:val="3D761147"/>
    <w:rsid w:val="3EEB7C2D"/>
    <w:rsid w:val="3F962296"/>
    <w:rsid w:val="4050B715"/>
    <w:rsid w:val="407C0704"/>
    <w:rsid w:val="414B1065"/>
    <w:rsid w:val="41CA0635"/>
    <w:rsid w:val="43290A96"/>
    <w:rsid w:val="4582CAD5"/>
    <w:rsid w:val="45C0DB3B"/>
    <w:rsid w:val="46A9BAE4"/>
    <w:rsid w:val="46D597A2"/>
    <w:rsid w:val="4A72344B"/>
    <w:rsid w:val="4AAB3B30"/>
    <w:rsid w:val="4AC5AE29"/>
    <w:rsid w:val="4B0B4246"/>
    <w:rsid w:val="4BB17897"/>
    <w:rsid w:val="4C6F7698"/>
    <w:rsid w:val="4C818354"/>
    <w:rsid w:val="4E3AAF3D"/>
    <w:rsid w:val="4E54330F"/>
    <w:rsid w:val="4E72B841"/>
    <w:rsid w:val="513FC05C"/>
    <w:rsid w:val="522D3CD6"/>
    <w:rsid w:val="52845189"/>
    <w:rsid w:val="5394C8AE"/>
    <w:rsid w:val="558AFDE4"/>
    <w:rsid w:val="559E4F55"/>
    <w:rsid w:val="563E83A7"/>
    <w:rsid w:val="570F3FE8"/>
    <w:rsid w:val="572E4667"/>
    <w:rsid w:val="5A6A8B5A"/>
    <w:rsid w:val="5A876292"/>
    <w:rsid w:val="5B05A365"/>
    <w:rsid w:val="5BE2B10B"/>
    <w:rsid w:val="5C84281C"/>
    <w:rsid w:val="5D44939E"/>
    <w:rsid w:val="5DD676B2"/>
    <w:rsid w:val="5E121704"/>
    <w:rsid w:val="5EBEDFD8"/>
    <w:rsid w:val="5ECFFE09"/>
    <w:rsid w:val="5F0874E6"/>
    <w:rsid w:val="5F4444C7"/>
    <w:rsid w:val="60B6222E"/>
    <w:rsid w:val="61DCEB56"/>
    <w:rsid w:val="62B499CF"/>
    <w:rsid w:val="63506494"/>
    <w:rsid w:val="639761D0"/>
    <w:rsid w:val="63EDC2F0"/>
    <w:rsid w:val="64005F88"/>
    <w:rsid w:val="64506A30"/>
    <w:rsid w:val="65861BBF"/>
    <w:rsid w:val="65F86F9A"/>
    <w:rsid w:val="66DF660C"/>
    <w:rsid w:val="66E75AA9"/>
    <w:rsid w:val="677BC849"/>
    <w:rsid w:val="68A79C7B"/>
    <w:rsid w:val="68C13413"/>
    <w:rsid w:val="6A909636"/>
    <w:rsid w:val="6AE55328"/>
    <w:rsid w:val="6B6491F4"/>
    <w:rsid w:val="6B64DAD4"/>
    <w:rsid w:val="6BADFDA6"/>
    <w:rsid w:val="6C43DE70"/>
    <w:rsid w:val="6C821009"/>
    <w:rsid w:val="6FC01928"/>
    <w:rsid w:val="6FC7482E"/>
    <w:rsid w:val="7108A351"/>
    <w:rsid w:val="7279C66D"/>
    <w:rsid w:val="735CC367"/>
    <w:rsid w:val="743B2EA7"/>
    <w:rsid w:val="746FF75E"/>
    <w:rsid w:val="74A2FFEB"/>
    <w:rsid w:val="76515F3A"/>
    <w:rsid w:val="76774729"/>
    <w:rsid w:val="79C8E529"/>
    <w:rsid w:val="7B036478"/>
    <w:rsid w:val="7EC404F4"/>
    <w:rsid w:val="7F5483FA"/>
    <w:rsid w:val="7F83A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D9EFC"/>
  <w15:chartTrackingRefBased/>
  <w15:docId w15:val="{65D5A51D-CA76-4D06-9E34-A357002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C3220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6384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72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BC3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71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426"/>
  </w:style>
  <w:style w:type="paragraph" w:styleId="Piedepgina">
    <w:name w:val="footer"/>
    <w:basedOn w:val="Normal"/>
    <w:link w:val="PiedepginaCar"/>
    <w:uiPriority w:val="99"/>
    <w:unhideWhenUsed/>
    <w:rsid w:val="00D71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B63D4B1049E49B8398F1279CEF955" ma:contentTypeVersion="12" ma:contentTypeDescription="Crear nuevo documento." ma:contentTypeScope="" ma:versionID="ba89b4e7f30e6783d6db062c55746ab7">
  <xsd:schema xmlns:xsd="http://www.w3.org/2001/XMLSchema" xmlns:xs="http://www.w3.org/2001/XMLSchema" xmlns:p="http://schemas.microsoft.com/office/2006/metadata/properties" xmlns:ns2="713e64a3-2e9e-46de-a365-75f804904b27" xmlns:ns3="aa00adee-4315-4c83-859c-77465c898eda" targetNamespace="http://schemas.microsoft.com/office/2006/metadata/properties" ma:root="true" ma:fieldsID="58c34bcf7813666c2669bc14a708e0f5" ns2:_="" ns3:_="">
    <xsd:import namespace="713e64a3-2e9e-46de-a365-75f804904b27"/>
    <xsd:import namespace="aa00adee-4315-4c83-859c-77465c898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64a3-2e9e-46de-a365-75f804904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adee-4315-4c83-859c-77465c898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CA706-7DEE-4A88-B1C3-C2AC9A1EA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7173E-8DB3-49BE-B46A-0AAB86CDD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e64a3-2e9e-46de-a365-75f804904b27"/>
    <ds:schemaRef ds:uri="aa00adee-4315-4c83-859c-77465c898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A8D96-02C7-4602-9FFA-C190BC519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 Gracia Peiro</dc:creator>
  <cp:keywords/>
  <dc:description/>
  <cp:lastModifiedBy>Alejandro Simón</cp:lastModifiedBy>
  <cp:revision>4</cp:revision>
  <dcterms:created xsi:type="dcterms:W3CDTF">2025-05-09T12:44:00Z</dcterms:created>
  <dcterms:modified xsi:type="dcterms:W3CDTF">2025-05-21T10:15:00Z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0x010100F50B63D4B1049E49B8398F1279CEF955</vt:lpwstr>
  </property>
</Properties>
</file>